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58F61A3" w:rsidR="00672A8B" w:rsidRDefault="00C36C66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Preporuka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ODIHR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broj</w:t>
      </w:r>
      <w:r w:rsidR="00B056EF">
        <w:rPr>
          <w:rFonts w:ascii="Arial" w:eastAsia="Arial" w:hAnsi="Arial" w:cs="Arial"/>
          <w:b/>
          <w:sz w:val="24"/>
          <w:szCs w:val="24"/>
        </w:rPr>
        <w:t>: 4/2023</w:t>
      </w:r>
      <w:r w:rsidR="00B056EF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odgovorilo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zabrinutosti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vezi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tačnošću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izvoda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povećalo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javnosti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trebalo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preispitati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propise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prakse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kako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omogućio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olakšalo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sprovođenje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revizije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JBS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učešće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relevantnih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zainteresovanih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uključujući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političke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stranke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OCD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zaštite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02" w14:textId="77777777" w:rsidR="00672A8B" w:rsidRDefault="00672A8B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3" w14:textId="6C9F862D" w:rsidR="00672A8B" w:rsidRDefault="00C36C66">
      <w:pPr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PREDLAGAČ</w:t>
      </w:r>
      <w:r w:rsidR="00B056EF">
        <w:rPr>
          <w:rFonts w:ascii="Arial" w:eastAsia="Arial" w:hAnsi="Arial" w:cs="Arial"/>
          <w:b/>
          <w:color w:val="231F2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231F20"/>
          <w:sz w:val="24"/>
          <w:szCs w:val="24"/>
        </w:rPr>
        <w:t>CRTA</w:t>
      </w:r>
    </w:p>
    <w:p w14:paraId="00000004" w14:textId="7779B015" w:rsidR="00672A8B" w:rsidRDefault="00C36C66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Dopune</w:t>
      </w:r>
      <w:r w:rsidR="00B056E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 w:rsidR="00B056E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jedinstvenom</w:t>
      </w:r>
      <w:r w:rsidR="00B056E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spisku</w:t>
      </w:r>
    </w:p>
    <w:p w14:paraId="00000005" w14:textId="77777777" w:rsidR="00672A8B" w:rsidRDefault="00672A8B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6" w14:textId="62C20586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ZAKON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07" w14:textId="26A0D5BA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DOPUNAMA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JEDINSTVENOM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08" w14:textId="6790BBE6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SPISKU</w:t>
      </w:r>
    </w:p>
    <w:p w14:paraId="00000009" w14:textId="77777777" w:rsidR="00672A8B" w:rsidRDefault="00672A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672A8B" w:rsidRDefault="00672A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3BD3A952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Član</w:t>
      </w:r>
      <w:r w:rsidR="00B056EF">
        <w:rPr>
          <w:rFonts w:ascii="Arial" w:eastAsia="Arial" w:hAnsi="Arial" w:cs="Arial"/>
          <w:b/>
          <w:color w:val="333333"/>
          <w:sz w:val="24"/>
          <w:szCs w:val="24"/>
        </w:rPr>
        <w:t xml:space="preserve"> 1.</w:t>
      </w:r>
      <w:r w:rsidR="00B056EF"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0000000C" w14:textId="77777777" w:rsidR="00672A8B" w:rsidRDefault="00672A8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4AB26956" w:rsidR="00672A8B" w:rsidRDefault="00C36C66">
      <w:pPr>
        <w:spacing w:after="0"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Zakonu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jedinstvenom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spisku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(„</w:t>
      </w:r>
      <w:r>
        <w:rPr>
          <w:rFonts w:ascii="Arial" w:eastAsia="Arial" w:hAnsi="Arial" w:cs="Arial"/>
          <w:color w:val="333333"/>
          <w:sz w:val="24"/>
          <w:szCs w:val="24"/>
        </w:rPr>
        <w:t>Službeni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glasnik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RS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“, </w:t>
      </w:r>
      <w:r>
        <w:rPr>
          <w:rFonts w:ascii="Arial" w:eastAsia="Arial" w:hAnsi="Arial" w:cs="Arial"/>
          <w:color w:val="333333"/>
          <w:sz w:val="24"/>
          <w:szCs w:val="24"/>
        </w:rPr>
        <w:t>br</w:t>
      </w:r>
      <w:r w:rsidR="00B056EF">
        <w:rPr>
          <w:rFonts w:ascii="Arial" w:eastAsia="Arial" w:hAnsi="Arial" w:cs="Arial"/>
          <w:color w:val="333333"/>
          <w:sz w:val="24"/>
          <w:szCs w:val="24"/>
        </w:rPr>
        <w:t>. 104/09, 99/11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44/24), </w:t>
      </w:r>
      <w:r>
        <w:rPr>
          <w:rFonts w:ascii="Arial" w:eastAsia="Arial" w:hAnsi="Arial" w:cs="Arial"/>
          <w:color w:val="333333"/>
          <w:sz w:val="24"/>
          <w:szCs w:val="24"/>
        </w:rPr>
        <w:t>posle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člana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2. </w:t>
      </w:r>
      <w:r>
        <w:rPr>
          <w:rFonts w:ascii="Arial" w:eastAsia="Arial" w:hAnsi="Arial" w:cs="Arial"/>
          <w:color w:val="333333"/>
          <w:sz w:val="24"/>
          <w:szCs w:val="24"/>
        </w:rPr>
        <w:t>dodaje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novi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koji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glasi</w:t>
      </w:r>
      <w:r w:rsidR="00B056EF">
        <w:rPr>
          <w:rFonts w:ascii="Arial" w:eastAsia="Arial" w:hAnsi="Arial" w:cs="Arial"/>
          <w:color w:val="333333"/>
          <w:sz w:val="24"/>
          <w:szCs w:val="24"/>
        </w:rPr>
        <w:t>: </w:t>
      </w:r>
    </w:p>
    <w:p w14:paraId="0000000E" w14:textId="77777777" w:rsidR="00672A8B" w:rsidRDefault="00672A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6B1909EF" w:rsidR="00672A8B" w:rsidRDefault="00B056EF">
      <w:pPr>
        <w:spacing w:line="240" w:lineRule="auto"/>
        <w:ind w:firstLine="48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„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Organ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nadležan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za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reviziju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verifikaciju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i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kontrolu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tačnosti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i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ažuriranja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biračkog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333333"/>
          <w:sz w:val="24"/>
          <w:szCs w:val="24"/>
        </w:rPr>
        <w:t>spiska</w:t>
      </w:r>
    </w:p>
    <w:p w14:paraId="00000010" w14:textId="4B586FEE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</w:p>
    <w:p w14:paraId="00000011" w14:textId="724551B7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Reviziju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verifikaciju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kontrolu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spiska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vrši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 w:rsidR="00B056EF"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reviziju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verifikaciju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koju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obrazuje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skladu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ovim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zakonom</w:t>
      </w:r>
      <w:r w:rsidR="00B056EF">
        <w:rPr>
          <w:rFonts w:ascii="Arial" w:eastAsia="Arial" w:hAnsi="Arial" w:cs="Arial"/>
          <w:color w:val="333333"/>
          <w:sz w:val="24"/>
          <w:szCs w:val="24"/>
        </w:rPr>
        <w:t>.“</w:t>
      </w:r>
    </w:p>
    <w:p w14:paraId="00000012" w14:textId="2C92FE6B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2.</w:t>
      </w:r>
    </w:p>
    <w:p w14:paraId="00000013" w14:textId="77777777" w:rsidR="00672A8B" w:rsidRDefault="00672A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14A14A64" w:rsidR="00672A8B" w:rsidRDefault="00C36C6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Posle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14. </w:t>
      </w:r>
      <w:r>
        <w:rPr>
          <w:rFonts w:ascii="Arial" w:eastAsia="Arial" w:hAnsi="Arial" w:cs="Arial"/>
          <w:color w:val="000000"/>
          <w:sz w:val="24"/>
          <w:szCs w:val="24"/>
        </w:rPr>
        <w:t>dodaju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 14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: </w:t>
      </w:r>
    </w:p>
    <w:p w14:paraId="00000015" w14:textId="77777777" w:rsidR="00672A8B" w:rsidRDefault="00672A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0B096E11" w:rsidR="00672A8B" w:rsidRDefault="00B056EF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„</w:t>
      </w:r>
      <w:r w:rsidR="00C36C66">
        <w:rPr>
          <w:rFonts w:ascii="Arial" w:eastAsia="Arial" w:hAnsi="Arial" w:cs="Arial"/>
          <w:b/>
          <w:color w:val="000000"/>
          <w:sz w:val="24"/>
          <w:szCs w:val="24"/>
        </w:rPr>
        <w:t>Izlaganje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000000"/>
          <w:sz w:val="24"/>
          <w:szCs w:val="24"/>
        </w:rPr>
        <w:t>biračkog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000000"/>
          <w:sz w:val="24"/>
          <w:szCs w:val="24"/>
        </w:rPr>
        <w:t>spiska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b/>
          <w:color w:val="000000"/>
          <w:sz w:val="24"/>
          <w:szCs w:val="24"/>
        </w:rPr>
        <w:t>građanima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17" w14:textId="5DB79C7E" w:rsidR="00672A8B" w:rsidRDefault="00C36C66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00000018" w14:textId="4A887DCF" w:rsidR="00672A8B" w:rsidRDefault="00C36C66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cilju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izlaganja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ministarstvo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B056EF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mašinski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čitljivom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omogućava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biračima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ime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ime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jednog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roditelja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prezime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razvrstanim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područje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jedinice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lokalne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samouprave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kao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domaćinstvu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adresi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19" w14:textId="13A617A7" w:rsidR="00672A8B" w:rsidRDefault="00C36C66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Nakon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zaključenja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ministarstvo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pored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B056EF">
        <w:rPr>
          <w:rFonts w:ascii="Arial" w:eastAsia="Arial" w:hAnsi="Arial" w:cs="Arial"/>
          <w:sz w:val="24"/>
          <w:szCs w:val="24"/>
        </w:rPr>
        <w:t xml:space="preserve"> 1. </w:t>
      </w:r>
      <w:r>
        <w:rPr>
          <w:rFonts w:ascii="Arial" w:eastAsia="Arial" w:hAnsi="Arial" w:cs="Arial"/>
          <w:sz w:val="24"/>
          <w:szCs w:val="24"/>
        </w:rPr>
        <w:t>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B056EF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mašinski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čitljivom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omogućava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predstojećim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prebivališta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boravišta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zemlji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inostranstvu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1A" w14:textId="7E0EF03B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Pristup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1.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unošenjem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jedinstvenom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matičnom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registarskom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lične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karte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pasoša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zainteresovanog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pristupa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B056EF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B" w14:textId="42DCF37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Opštinska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gradska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B056EF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ukupnom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području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područje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lokalne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povereni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elektronskim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putem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dostavlja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odlaganja</w:t>
      </w:r>
      <w:r w:rsidR="00B056EF">
        <w:rPr>
          <w:rFonts w:ascii="Arial" w:eastAsia="Arial" w:hAnsi="Arial" w:cs="Arial"/>
          <w:sz w:val="24"/>
          <w:szCs w:val="24"/>
        </w:rPr>
        <w:t xml:space="preserve">. </w:t>
      </w:r>
    </w:p>
    <w:p w14:paraId="0000001C" w14:textId="7AE7ECA1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Ministarstvo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B056EF">
        <w:rPr>
          <w:rFonts w:ascii="Arial" w:eastAsia="Arial" w:hAnsi="Arial" w:cs="Arial"/>
          <w:sz w:val="24"/>
          <w:szCs w:val="24"/>
        </w:rPr>
        <w:t xml:space="preserve"> 4. </w:t>
      </w:r>
      <w:r>
        <w:rPr>
          <w:rFonts w:ascii="Arial" w:eastAsia="Arial" w:hAnsi="Arial" w:cs="Arial"/>
          <w:sz w:val="24"/>
          <w:szCs w:val="24"/>
        </w:rPr>
        <w:t>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razvrstane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jedinicama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lokalnih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samouprava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objavljuje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B056EF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svakih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. </w:t>
      </w:r>
    </w:p>
    <w:p w14:paraId="0000001D" w14:textId="6651A6F4" w:rsidR="00672A8B" w:rsidRDefault="00C36C66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Zaštita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podataka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ličnosti</w:t>
      </w:r>
    </w:p>
    <w:p w14:paraId="0000001E" w14:textId="2D07F3A5" w:rsidR="00672A8B" w:rsidRDefault="00C36C66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</w:p>
    <w:p w14:paraId="0000001F" w14:textId="02C4B7CA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osnovu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predviđenim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pristup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ličnosti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postupaju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uređena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zaštita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ličnosti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isključivo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svrhu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vršenja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poverena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20" w14:textId="3601E019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B056EF">
        <w:rPr>
          <w:rFonts w:ascii="Arial" w:eastAsia="Arial" w:hAnsi="Arial" w:cs="Arial"/>
          <w:sz w:val="24"/>
          <w:szCs w:val="24"/>
        </w:rPr>
        <w:t xml:space="preserve"> 1. </w:t>
      </w:r>
      <w:r>
        <w:rPr>
          <w:rFonts w:ascii="Arial" w:eastAsia="Arial" w:hAnsi="Arial" w:cs="Arial"/>
          <w:sz w:val="24"/>
          <w:szCs w:val="24"/>
        </w:rPr>
        <w:t>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prilikom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pristupa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pismenu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izjavu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poverljivosti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potvrđuju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upoznati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obavezom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prilikom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pristupa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postupati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uređena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zaštita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ličnosti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isključivo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svrhu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poverena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21" w14:textId="359E2F28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Komisija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reviziju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verifikaciju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kontrolu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tačnosti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ažuriranja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izgled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obrasca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izjave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poverljivosti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>.</w:t>
      </w:r>
      <w:r w:rsidR="00B056EF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22" w14:textId="77777777" w:rsidR="00672A8B" w:rsidRDefault="00672A8B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2222E21B" w:rsidR="00672A8B" w:rsidRDefault="00C36C6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3.</w:t>
      </w:r>
    </w:p>
    <w:p w14:paraId="00000024" w14:textId="77777777" w:rsidR="00672A8B" w:rsidRDefault="00672A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5" w14:textId="2D31CC7B" w:rsidR="00672A8B" w:rsidRDefault="00C36C66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Posle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Glave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V. </w:t>
      </w:r>
      <w:r>
        <w:rPr>
          <w:rFonts w:ascii="Arial" w:eastAsia="Arial" w:hAnsi="Arial" w:cs="Arial"/>
          <w:color w:val="333333"/>
          <w:sz w:val="24"/>
          <w:szCs w:val="24"/>
        </w:rPr>
        <w:t>dodaju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Glava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V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</w:t>
      </w:r>
      <w:r w:rsidR="00B056EF">
        <w:rPr>
          <w:rFonts w:ascii="Arial" w:eastAsia="Arial" w:hAnsi="Arial" w:cs="Arial"/>
          <w:color w:val="333333"/>
          <w:sz w:val="24"/>
          <w:szCs w:val="24"/>
        </w:rPr>
        <w:t>. 22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do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22</w:t>
      </w:r>
      <w:r>
        <w:rPr>
          <w:rFonts w:ascii="Arial" w:eastAsia="Arial" w:hAnsi="Arial" w:cs="Arial"/>
          <w:color w:val="333333"/>
          <w:sz w:val="24"/>
          <w:szCs w:val="24"/>
        </w:rPr>
        <w:t>lj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koji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glase</w:t>
      </w:r>
      <w:r w:rsidR="00B056EF">
        <w:rPr>
          <w:rFonts w:ascii="Arial" w:eastAsia="Arial" w:hAnsi="Arial" w:cs="Arial"/>
          <w:color w:val="333333"/>
          <w:sz w:val="24"/>
          <w:szCs w:val="24"/>
        </w:rPr>
        <w:t>:</w:t>
      </w:r>
    </w:p>
    <w:p w14:paraId="00000026" w14:textId="77777777" w:rsidR="00672A8B" w:rsidRDefault="00672A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7" w14:textId="30635613" w:rsidR="00672A8B" w:rsidRDefault="00B056EF">
      <w:pPr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„V</w:t>
      </w:r>
      <w:r w:rsidR="00C36C66">
        <w:rPr>
          <w:rFonts w:ascii="Arial" w:eastAsia="Arial" w:hAnsi="Arial" w:cs="Arial"/>
          <w:color w:val="333333"/>
          <w:sz w:val="24"/>
          <w:szCs w:val="24"/>
        </w:rPr>
        <w:t>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KOMISIJA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ZA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REVIZIJU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VERIFIKACIJU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I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KONTROLU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TAČNOSTI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I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AŽURIRANjA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BIRAČKOG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333333"/>
          <w:sz w:val="24"/>
          <w:szCs w:val="24"/>
        </w:rPr>
        <w:t>SPISKA</w:t>
      </w:r>
    </w:p>
    <w:p w14:paraId="00000028" w14:textId="77777777" w:rsidR="00672A8B" w:rsidRDefault="00672A8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9" w14:textId="6D39CC1D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Položaj</w:t>
      </w:r>
      <w:r w:rsidR="00B056EF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33333"/>
          <w:sz w:val="24"/>
          <w:szCs w:val="24"/>
        </w:rPr>
        <w:t>Komisije</w:t>
      </w:r>
    </w:p>
    <w:p w14:paraId="0000002A" w14:textId="1B28DBA6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22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</w:p>
    <w:p w14:paraId="0000002B" w14:textId="67DF35E2" w:rsidR="00672A8B" w:rsidRDefault="00B056EF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omisija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reviziju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verifikaciju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kontrolu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tačnosti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ažuriranja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biračkog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spiska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daljem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tekstu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nezavisno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samostalno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telo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vrši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javna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ovlašćenja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cilju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sprovođenja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revizije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utvrđivanja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činjeničnog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upravljanju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vođenju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tačnosti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biračkog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spiska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kontrolisanja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tačnosti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postupka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ažuriranja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biračkog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spiska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doprinosa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povećanju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transparentnosti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poverenja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građana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birački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spisak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C" w14:textId="22B004D0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status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D" w14:textId="51893B1F" w:rsidR="00672A8B" w:rsidRDefault="00C36C66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odgovara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E" w14:textId="2D5F741D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Sastav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2F" w14:textId="298D0E53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</w:t>
      </w:r>
      <w:r w:rsidR="00B056EF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</w:p>
    <w:p w14:paraId="00000030" w14:textId="65A51552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31" w14:textId="36F3056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Šest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njihovi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dok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njihovi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dobila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objavila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nalazima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daljem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tekstu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udruženje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32" w14:textId="5F03FED8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može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bude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predloženo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imenovano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poslanik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zaposleno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izabrano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imenovano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postavljeno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ministarstvu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ministarstvu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unutrašnje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33" w14:textId="0C1E6D8D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Uslovi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izbor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članstvo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34" w14:textId="3A86025C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</w:p>
    <w:p w14:paraId="00000035" w14:textId="328B17A8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odnosno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zamenika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može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predloženo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samo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lice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36" w14:textId="43BCFD7C" w:rsidR="00672A8B" w:rsidRDefault="00C36C66">
      <w:pPr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državljanin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Srbije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teritoriji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Srbije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37" w14:textId="1B4CD7CB" w:rsidR="00672A8B" w:rsidRDefault="00C36C66">
      <w:pPr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visoko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obrazovanje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matematičkih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demografskih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informacionih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ekonomskih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društvenih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naučnih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iskustva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struci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38" w14:textId="113FF476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Predlaganje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članove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zamenike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39" w14:textId="443B5FEF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</w:p>
    <w:p w14:paraId="0000003A" w14:textId="7307B2C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najveće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glasale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Vlade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B" w14:textId="1A7E3FE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najveće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opozicione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poslaničke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Vlade</w:t>
      </w:r>
      <w:r w:rsidR="00B056EF">
        <w:rPr>
          <w:rFonts w:ascii="Arial" w:eastAsia="Arial" w:hAnsi="Arial" w:cs="Arial"/>
          <w:sz w:val="24"/>
          <w:szCs w:val="24"/>
        </w:rPr>
        <w:t>)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</w:p>
    <w:p w14:paraId="0000003C" w14:textId="5D4E9E2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zajedničkim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dogovorom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D" w14:textId="7DD63ED8" w:rsidR="00672A8B" w:rsidRDefault="00B056EF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Predlozi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kandidata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članove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zamenike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članova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podnose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odboru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Narodne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skupštine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nadležnom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državnu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upravu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daljem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tekstu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nadležni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Odbor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roku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stupanja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snagu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E" w14:textId="78BC55C2" w:rsidR="00672A8B" w:rsidRDefault="00B056EF">
      <w:pPr>
        <w:tabs>
          <w:tab w:val="left" w:pos="76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Predlog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sadrži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3F" w14:textId="7A39A644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1) </w:t>
      </w:r>
      <w:r w:rsidR="00C36C66"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prezime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0" w14:textId="58BFF189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2) </w:t>
      </w:r>
      <w:r w:rsidR="00C36C66">
        <w:rPr>
          <w:rFonts w:ascii="Arial" w:eastAsia="Arial" w:hAnsi="Arial" w:cs="Arial"/>
          <w:sz w:val="24"/>
          <w:szCs w:val="24"/>
        </w:rPr>
        <w:t>datum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mesto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rođenja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1" w14:textId="6EE64B02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3) </w:t>
      </w:r>
      <w:r w:rsidR="00C36C66">
        <w:rPr>
          <w:rFonts w:ascii="Arial" w:eastAsia="Arial" w:hAnsi="Arial" w:cs="Arial"/>
          <w:sz w:val="24"/>
          <w:szCs w:val="24"/>
        </w:rPr>
        <w:t>adresu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stanovanja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broj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telefona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adresu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prijem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elektronske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pošte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2" w14:textId="74E9D421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4) </w:t>
      </w:r>
      <w:r w:rsidR="00C36C66">
        <w:rPr>
          <w:rFonts w:ascii="Arial" w:eastAsia="Arial" w:hAnsi="Arial" w:cs="Arial"/>
          <w:sz w:val="24"/>
          <w:szCs w:val="24"/>
        </w:rPr>
        <w:t>podatke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obrazovanju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3" w14:textId="241A0F55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5) </w:t>
      </w:r>
      <w:r w:rsidR="00C36C66">
        <w:rPr>
          <w:rFonts w:ascii="Arial" w:eastAsia="Arial" w:hAnsi="Arial" w:cs="Arial"/>
          <w:sz w:val="24"/>
          <w:szCs w:val="24"/>
        </w:rPr>
        <w:t>podatke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radnom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iskustvu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44" w14:textId="47C33006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Uz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dostavlja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45" w14:textId="4859CCD1" w:rsidR="00672A8B" w:rsidRDefault="00B056EF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1) </w:t>
      </w:r>
      <w:r w:rsidR="00C36C66">
        <w:rPr>
          <w:rFonts w:ascii="Arial" w:eastAsia="Arial" w:hAnsi="Arial" w:cs="Arial"/>
          <w:sz w:val="24"/>
          <w:szCs w:val="24"/>
        </w:rPr>
        <w:t>pismena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saglasnost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prihvata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kandidaturu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koja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sadrži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njegovo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prezime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jedinstveni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matični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broj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građana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izjavu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postoje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smetnje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izbor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</w:t>
      </w:r>
      <w:r>
        <w:rPr>
          <w:rFonts w:ascii="Arial" w:eastAsia="Arial" w:hAnsi="Arial" w:cs="Arial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zakona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6" w14:textId="22C76C89" w:rsidR="00672A8B" w:rsidRDefault="00B056EF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2) </w:t>
      </w:r>
      <w:r w:rsidR="00C36C66">
        <w:rPr>
          <w:rFonts w:ascii="Arial" w:eastAsia="Arial" w:hAnsi="Arial" w:cs="Arial"/>
          <w:sz w:val="24"/>
          <w:szCs w:val="24"/>
        </w:rPr>
        <w:t>isprava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očitanoj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ličnoj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karti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mikrokontrolerom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C36C66">
        <w:rPr>
          <w:rFonts w:ascii="Arial" w:eastAsia="Arial" w:hAnsi="Arial" w:cs="Arial"/>
          <w:sz w:val="24"/>
          <w:szCs w:val="24"/>
        </w:rPr>
        <w:t>čipom</w:t>
      </w:r>
      <w:r>
        <w:rPr>
          <w:rFonts w:ascii="Arial" w:eastAsia="Arial" w:hAnsi="Arial" w:cs="Arial"/>
          <w:sz w:val="24"/>
          <w:szCs w:val="24"/>
        </w:rPr>
        <w:t xml:space="preserve">),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fotokopija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lične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karte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bez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mikrokontrolera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7" w14:textId="0317D39B" w:rsidR="00672A8B" w:rsidRDefault="00B056EF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3) </w:t>
      </w:r>
      <w:r w:rsidR="00C36C66">
        <w:rPr>
          <w:rFonts w:ascii="Arial" w:eastAsia="Arial" w:hAnsi="Arial" w:cs="Arial"/>
          <w:sz w:val="24"/>
          <w:szCs w:val="24"/>
        </w:rPr>
        <w:t>dokaz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stečenom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visokom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obrazovanju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48" w14:textId="5E0B16D2" w:rsidR="00672A8B" w:rsidRDefault="00B056EF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4) </w:t>
      </w:r>
      <w:r w:rsidR="00C36C66">
        <w:rPr>
          <w:rFonts w:ascii="Arial" w:eastAsia="Arial" w:hAnsi="Arial" w:cs="Arial"/>
          <w:sz w:val="24"/>
          <w:szCs w:val="24"/>
        </w:rPr>
        <w:t>dokaz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radnom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iskustvu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struci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49" w14:textId="3C40E772" w:rsidR="00672A8B" w:rsidRDefault="00B056EF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Udruženja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građana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dostavljaju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dokaz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ispunjenosti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uslova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</w:t>
      </w:r>
      <w:r>
        <w:rPr>
          <w:rFonts w:ascii="Arial" w:eastAsia="Arial" w:hAnsi="Arial" w:cs="Arial"/>
          <w:sz w:val="24"/>
          <w:szCs w:val="24"/>
        </w:rPr>
        <w:t xml:space="preserve"> 2.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zakona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4A" w14:textId="423897FA" w:rsidR="00672A8B" w:rsidRDefault="00C36C6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Imenovanje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članova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zamenika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članova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Komisije</w:t>
      </w:r>
    </w:p>
    <w:p w14:paraId="0000004B" w14:textId="12C94B65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B056EF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d</w:t>
      </w:r>
    </w:p>
    <w:p w14:paraId="0000004C" w14:textId="73F8EC97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Nadležni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isteka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predlaganje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razmatra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podnete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ispituje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podneli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predlagači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ispunjavaju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Komisiju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4D" w14:textId="1F6EFFF9" w:rsidR="00672A8B" w:rsidRDefault="00B056EF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ovlašćenog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predlagača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smislu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</w:t>
      </w:r>
      <w:r>
        <w:rPr>
          <w:rFonts w:ascii="Arial" w:eastAsia="Arial" w:hAnsi="Arial" w:cs="Arial"/>
          <w:color w:val="000000"/>
          <w:sz w:val="24"/>
          <w:szCs w:val="24"/>
        </w:rPr>
        <w:t>. 22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nadležni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Odbor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neće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razmatrati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čemu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pismenim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putem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obaveštava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podnosioca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predloga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4E" w14:textId="4D9DE94F" w:rsidR="00672A8B" w:rsidRDefault="00B056EF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neka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poslanička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grupa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ovlašćeni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predlagač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dostavi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zamenika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nadležni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Odbor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pismenim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putem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obratiti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sledećoj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poslaničkoj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grupi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kojoj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veličini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pripalo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pravo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predlaganja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Komisiju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zahtevom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poslanička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grupa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dostavi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kandidata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zamenika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sedam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prijema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zahteva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4F" w14:textId="7CC13217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utvrdi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neki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ispunjava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članstvo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uputiće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predlagaču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predložio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podnese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novi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prijema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50" w14:textId="42DE9FED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Nadležni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devet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devet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daljem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tekstu</w:t>
      </w:r>
      <w:r w:rsidR="00B056EF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B056EF"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>koju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Narodnoj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razmatranje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usvajanje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51" w14:textId="66B2C0F3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uvrsti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dnevnog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naredne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52" w14:textId="2883696A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odlučuje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celini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javnim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glasanjem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većinom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3" w14:textId="09B9AF22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dobije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potrebnu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većinu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postupak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ponavlja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završetka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glasalo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4" w14:textId="57BF8B01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Trajanje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prestanak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mandata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55" w14:textId="5537CBD1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đ</w:t>
      </w:r>
    </w:p>
    <w:p w14:paraId="00000056" w14:textId="5C8C55D2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</w:t>
      </w:r>
      <w:r w:rsidR="00B056EF">
        <w:rPr>
          <w:rFonts w:ascii="Arial" w:eastAsia="Arial" w:hAnsi="Arial" w:cs="Arial"/>
          <w:sz w:val="24"/>
          <w:szCs w:val="24"/>
        </w:rPr>
        <w:t xml:space="preserve">a. </w:t>
      </w:r>
    </w:p>
    <w:p w14:paraId="00000057" w14:textId="61469FB7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prestanak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58" w14:textId="1369966E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zbog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isteka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perioda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biran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00000059" w14:textId="39AD77F7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slučaju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smrti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5A" w14:textId="0D5A0268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izgubi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izborno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pravo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5B" w14:textId="69D02D5A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pravnosnažnom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sudskom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odlukom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osuđen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bezuslovnu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kaznu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zatvora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trajanju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najmanje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6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meseci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5C" w14:textId="0529E3B3" w:rsidR="00672A8B" w:rsidRDefault="00B056EF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5) a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izgubi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radnu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sposobnost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5D" w14:textId="2D86B349" w:rsidR="00672A8B" w:rsidRDefault="00B056EF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6)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ostavku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5E" w14:textId="04C27A3C" w:rsidR="00672A8B" w:rsidRDefault="00B056EF">
      <w:pPr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drugim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slučajevima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predviđenim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zakonom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F" w14:textId="1D46E32A" w:rsidR="00672A8B" w:rsidRDefault="00C36C66">
      <w:pPr>
        <w:spacing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ostavku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pismenom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potpis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podnosioca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overen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overavanje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potpisa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60" w14:textId="3C72AFA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razrešava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61" w14:textId="681B51EB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naknadno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utvrdi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ispunjava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uslove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članstvo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propisane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zakonom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2" w14:textId="40CFD693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bez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opravdanog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razloga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propusti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odbije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obavlja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dužnost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odnosno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zamenika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periodu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najmanje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mesec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neprekidno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periodu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12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meseci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najmanje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šest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meseci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obavlja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svoju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dužnost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63" w14:textId="220D026E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pokreće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najkasnije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meseca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isteka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64" w14:textId="0DAE034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predlagač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predložio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razrešen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utvrđivanja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prestanka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razrešenja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65" w14:textId="69C409C3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Narodna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45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utvrđivanja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prestanka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mandata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razrešenja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>. </w:t>
      </w:r>
    </w:p>
    <w:p w14:paraId="00000066" w14:textId="277B1A12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postupak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izbora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zamenika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shodno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primenjuju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odredbe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z w:val="24"/>
          <w:szCs w:val="24"/>
        </w:rPr>
        <w:t>. 22</w:t>
      </w:r>
      <w:r w:rsidR="00C36C66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zakona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67" w14:textId="6CD442C8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Prva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sednica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Komisije</w:t>
      </w:r>
    </w:p>
    <w:p w14:paraId="00000068" w14:textId="46FEE5E6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00000069" w14:textId="3AA4BB15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Prvu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6A" w14:textId="527AE431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prvoj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6B" w14:textId="0240D082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predsednika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članova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izabrani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udruženja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građana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C" w14:textId="085CB0E2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donosi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Poslovnik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bliže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uređuje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organizaciju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način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rada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D" w14:textId="338AC7B6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C36C66">
        <w:rPr>
          <w:rFonts w:ascii="Arial" w:eastAsia="Arial" w:hAnsi="Arial" w:cs="Arial"/>
          <w:sz w:val="24"/>
          <w:szCs w:val="24"/>
        </w:rPr>
        <w:t>donosi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6E" w14:textId="732F310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koga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većina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ukupnog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najmanje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udruženja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. </w:t>
      </w:r>
    </w:p>
    <w:p w14:paraId="0000006F" w14:textId="559207D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Odmah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nakon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predsednik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70" w14:textId="4EF831EE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predsedava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sprovođenju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potpisuje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akte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slučaju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odsutnosti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sprečenosti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navedene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predsednika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71" w14:textId="4455C7AF" w:rsidR="00672A8B" w:rsidRDefault="00C36C66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Delokrug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72" w14:textId="221A236B" w:rsidR="00672A8B" w:rsidRDefault="00C36C66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ž</w:t>
      </w:r>
    </w:p>
    <w:p w14:paraId="00000073" w14:textId="7D428DDE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sledeće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74" w14:textId="79EBD932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5" w14:textId="3CE5B588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valjanost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rešenja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vrše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76" w14:textId="2477FCF0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statističke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parametre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kretanja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7" w14:textId="70E94293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proces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autorizacije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8" w14:textId="40B8B7AB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sprovedenim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inspekcijskim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nadzorima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predloženim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naloženim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merama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inspekcijskog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nadzora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primenom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propisa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uređuje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jedinstveni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spisak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9" w14:textId="547A183C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boravištu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pravnom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prijavljeno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odjavljeno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usklađenosti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A" w14:textId="6B6B52F6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zaduženih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odobravanje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boravišta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);</w:t>
      </w:r>
    </w:p>
    <w:p w14:paraId="0000007B" w14:textId="11043D24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Registra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matičnih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knjiga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vođenje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C" w14:textId="2293AC88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koordinira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nadzire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terensku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analiza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saradnji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nadležnim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D" w14:textId="178D6FF7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otklanjanje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nepravilnosti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E" w14:textId="4F2FB94D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pokretanje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utvrđivanje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odgovornosti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utvrđivanja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činjenica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upravljanju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nađe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sumnje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došlo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kršenja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što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povredu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prijavljuje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F" w14:textId="439B4429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pribavlja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statističkim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>kretanjima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prebivalištu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boravištu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pasivizaciji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relevantnim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vezi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0" w14:textId="278E2162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izrađuje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godišnje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periodične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skladu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81" w14:textId="262FF150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izrađuje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periodične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reviziji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   </w:t>
      </w:r>
      <w:r>
        <w:rPr>
          <w:rFonts w:ascii="Arial" w:eastAsia="Arial" w:hAnsi="Arial" w:cs="Arial"/>
          <w:color w:val="000000"/>
          <w:sz w:val="24"/>
          <w:szCs w:val="24"/>
        </w:rPr>
        <w:t>verifikaciji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2" w14:textId="520D29C1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kampanju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edukaciju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saradnji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medijskim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servisima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ministarstvom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3" w14:textId="66DFE831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saradnju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relevantnih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institucija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efikasnog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sprovođenja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unapređenje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integriteta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4" w14:textId="1E0CCC49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informacionu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bezbednost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softvera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5" w14:textId="1F4B2D7E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donošenje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izmene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propisa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mišljenje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nacrtima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propisa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uređuju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pitanja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delokruga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6" w14:textId="5517B78E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poredi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evidencije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matične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knjige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registri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7" w14:textId="4C1D9136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postupak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zapošljavanja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angažovanja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službenika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vode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spisak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8" w14:textId="57391858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postupanja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službenika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vode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spisak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kao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obuke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prolaze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9" w14:textId="643EB9C4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opremu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softver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hardver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bezbednost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opreme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službenici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koriste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evidencija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matične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knjige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registri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A" w14:textId="78BCD72A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bezbednost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prostorije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serveri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evidencija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matične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knjige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registri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B" w14:textId="5592DBF9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podzakonska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uređuju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način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evidencija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matične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knjige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registri</w:t>
      </w:r>
      <w:r w:rsidR="00B056EF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vođenje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C" w14:textId="27D1C7C9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analizira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republičkog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zaduženi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poredi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evidencija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matične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knjige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registri</w:t>
      </w:r>
      <w:r w:rsidR="00B056EF"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>kao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;</w:t>
      </w:r>
    </w:p>
    <w:p w14:paraId="0000008D" w14:textId="75D2D0C2" w:rsidR="00672A8B" w:rsidRDefault="00C3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sprovodi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analize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neophodne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utvrdio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stepen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integriteta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8E" w14:textId="4EA8A6A3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Radi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državne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posebne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teritorijalne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autonomije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lokalne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dostave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uvid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evidencije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raspolažu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vođenje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8F" w14:textId="5AF33A56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Komisija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donosi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uređuje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način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vršenja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revizije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verifikacije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kontrole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tačnosti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ažuriranja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90" w14:textId="4840BF17" w:rsidR="00672A8B" w:rsidRDefault="00B05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2" w:name="_heading=h.qk1x2opbvtci" w:colFirst="0" w:colLast="0"/>
      <w:bookmarkEnd w:id="2"/>
      <w:r>
        <w:rPr>
          <w:rFonts w:ascii="Arial" w:eastAsia="Arial" w:hAnsi="Arial" w:cs="Arial"/>
          <w:sz w:val="24"/>
          <w:szCs w:val="24"/>
        </w:rPr>
        <w:lastRenderedPageBreak/>
        <w:t>A</w:t>
      </w:r>
      <w:r w:rsidR="00C36C66"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stava</w:t>
      </w:r>
      <w:r>
        <w:rPr>
          <w:rFonts w:ascii="Arial" w:eastAsia="Arial" w:hAnsi="Arial" w:cs="Arial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donosi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60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obrazovanja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91" w14:textId="640CC3BD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Odlučivanje</w:t>
      </w:r>
      <w:r w:rsidR="00B056EF">
        <w:rPr>
          <w:rFonts w:ascii="Arial" w:eastAsia="Arial" w:hAnsi="Arial" w:cs="Arial"/>
          <w:b/>
          <w:sz w:val="24"/>
          <w:szCs w:val="24"/>
        </w:rPr>
        <w:t> </w:t>
      </w:r>
    </w:p>
    <w:p w14:paraId="00000092" w14:textId="0AC378C0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B056EF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z</w:t>
      </w:r>
    </w:p>
    <w:p w14:paraId="00000093" w14:textId="77777777" w:rsidR="00672A8B" w:rsidRDefault="00672A8B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94" w14:textId="22F64460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Komisija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donosi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odluku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dvotrećinskom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većinom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svih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najmanje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najveće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poslaničke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vlade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najmanje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najveće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opozicione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poslaničke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najmanje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udruženja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osim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drugačije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propisano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95" w14:textId="2E91713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Zamenik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zamenjuje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slučaju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njegovog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odsustva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prestanka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96" w14:textId="043AD9FD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Zamenik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pravo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odsustvu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koga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zamenjuje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97" w14:textId="7E6E4EBD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zamenjuje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98" w14:textId="7EDAC5C2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Učesnici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radu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bez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prava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odlučivanja</w:t>
      </w:r>
    </w:p>
    <w:p w14:paraId="00000099" w14:textId="47AD6B22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</w:p>
    <w:p w14:paraId="0000009A" w14:textId="01EB3E64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bez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odlučivanja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učestvuju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9B" w14:textId="12ED4AF4" w:rsidR="00672A8B" w:rsidRDefault="00C3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9C" w14:textId="08531282" w:rsidR="00672A8B" w:rsidRDefault="00C3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9D" w14:textId="09775453" w:rsidR="00672A8B" w:rsidRDefault="00C3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Poverenika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zaštitu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9E" w14:textId="3D22A82C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odrede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prijema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pismenog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9F" w14:textId="3F9CE3B7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održavaju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prisustva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A0" w14:textId="1CACA20A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bez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odlučivanja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pozivu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mogu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učestvovati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A1" w14:textId="5FEF4CE8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predstavnici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međunarodnih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organizacija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stručnjaci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znanjem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oblasti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A2" w14:textId="7C2E40A9" w:rsidR="00672A8B" w:rsidRDefault="00B056EF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     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državni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službenici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državne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uprave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službenici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autonomnih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pokrajina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odnosno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lastRenderedPageBreak/>
        <w:t>jedinica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lokalne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samouprave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znanjem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oblasti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odredi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rukovodilac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organa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lica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zaposlena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3" w14:textId="7D7DBB6A" w:rsidR="00672A8B" w:rsidRDefault="00B056EF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Pozvana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lica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dužna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učine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dostupnim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informacije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neophodne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ostvarivanje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ciljeva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zadataka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propisanih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ovim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zakonom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4" w14:textId="77777777" w:rsidR="00672A8B" w:rsidRDefault="00672A8B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000A5" w14:textId="1EEA7A01" w:rsidR="00672A8B" w:rsidRDefault="00C36C66">
      <w:pPr>
        <w:spacing w:line="24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Posmatrači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A6" w14:textId="76AF42F0" w:rsidR="00672A8B" w:rsidRDefault="00B056EF">
      <w:pPr>
        <w:spacing w:line="24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</w:t>
      </w:r>
    </w:p>
    <w:p w14:paraId="000000A7" w14:textId="60B22E3B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mogu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međunarodnih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ostvaruju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ciljeve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daljem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tekstu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posmatrači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0000"/>
          <w:sz w:val="24"/>
          <w:szCs w:val="24"/>
        </w:rPr>
        <w:t>bez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učešća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8" w14:textId="1F5BE8E7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Posmatrači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zainteresovani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blagovremeno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9" w14:textId="4A1D9826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ispituje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ispunjenost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uslova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donosi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usvajanju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A" w14:textId="1AFE8F39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prisustvuju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osim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isključena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B" w14:textId="6B0EEE24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održavanju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blagovremeno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obavesti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zainteresovane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C" w14:textId="502242B3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prevodiocu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pratnji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nesmetano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D" w14:textId="4F608896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prevodilac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pratnji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legitimacije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vidnom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mestu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E" w14:textId="77777777" w:rsidR="00672A8B" w:rsidRDefault="00672A8B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AF" w14:textId="3266E17B" w:rsidR="00672A8B" w:rsidRDefault="00C36C6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Izveštaji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Narodnoj</w:t>
      </w:r>
      <w:r w:rsidR="00B056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skupštini</w:t>
      </w:r>
    </w:p>
    <w:p w14:paraId="000000B0" w14:textId="7B227230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B056EF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k</w:t>
      </w:r>
    </w:p>
    <w:p w14:paraId="000000B1" w14:textId="1323C2E6" w:rsidR="00672A8B" w:rsidRDefault="00C36C66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redovni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godišnji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februara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tekuće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2" w14:textId="430719BF" w:rsidR="00672A8B" w:rsidRDefault="00C36C66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Izveštaj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B056EF">
        <w:rPr>
          <w:rFonts w:ascii="Arial" w:eastAsia="Arial" w:hAnsi="Arial" w:cs="Arial"/>
          <w:sz w:val="24"/>
          <w:szCs w:val="24"/>
        </w:rPr>
        <w:t xml:space="preserve"> 1. </w:t>
      </w:r>
      <w:r>
        <w:rPr>
          <w:rFonts w:ascii="Arial" w:eastAsia="Arial" w:hAnsi="Arial" w:cs="Arial"/>
          <w:sz w:val="24"/>
          <w:szCs w:val="24"/>
        </w:rPr>
        <w:t>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razmatra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nadležni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B056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30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njegovog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podnošenja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Narodnoj</w:t>
      </w:r>
      <w:r w:rsidR="00B05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skupštini</w:t>
      </w:r>
      <w:r w:rsidR="00B056EF">
        <w:rPr>
          <w:rFonts w:ascii="Arial" w:eastAsia="Arial" w:hAnsi="Arial" w:cs="Arial"/>
          <w:sz w:val="24"/>
          <w:szCs w:val="24"/>
        </w:rPr>
        <w:t>.</w:t>
      </w:r>
    </w:p>
    <w:p w14:paraId="000000B3" w14:textId="0F05895E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Nakon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razmatranja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stava</w:t>
      </w:r>
      <w:r>
        <w:rPr>
          <w:rFonts w:ascii="Arial" w:eastAsia="Arial" w:hAnsi="Arial" w:cs="Arial"/>
          <w:sz w:val="24"/>
          <w:szCs w:val="24"/>
        </w:rPr>
        <w:t xml:space="preserve"> 1.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nadležni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Odbor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podnosi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predlogom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zaključaka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preporuka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merama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unapređenje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tačnosti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ažuriranja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biračkog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spiska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B4" w14:textId="326B2F57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C36C66">
        <w:rPr>
          <w:rFonts w:ascii="Arial" w:eastAsia="Arial" w:hAnsi="Arial" w:cs="Arial"/>
          <w:sz w:val="24"/>
          <w:szCs w:val="24"/>
        </w:rPr>
        <w:t>Narodna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razmatra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nadležnog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Odbora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stava</w:t>
      </w:r>
      <w:r>
        <w:rPr>
          <w:rFonts w:ascii="Arial" w:eastAsia="Arial" w:hAnsi="Arial" w:cs="Arial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30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podnošenja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B5" w14:textId="2901A17C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sednicama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nadležnog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Odbora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kojima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razmatraju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. 1.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pozivaju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učestvuju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predstavnici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B6" w14:textId="205DCB54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Narodna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zaključenju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rasprave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donosi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zaključke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preporuke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većinom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glasova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narodnih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poslanika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kojoj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prisutna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većina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narodnih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poslanika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B7" w14:textId="5B728D3F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Nadležni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organi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organizacije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dužni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postupe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skladu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zaključcima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preporukama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čemu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izveštavaju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Komisiju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120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objavljivanja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zaključaka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odnosno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preporuka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</w:p>
    <w:p w14:paraId="000000B8" w14:textId="050FFD5D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Komisija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vrši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nadzor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vođenjem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ažuriranjem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biračkog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spiska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primenom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zaključaka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preporuka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tome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podnosi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svoj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izveštaj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skupštini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30 </w:t>
      </w:r>
      <w:r w:rsidR="00C36C66">
        <w:rPr>
          <w:rFonts w:ascii="Arial" w:eastAsia="Arial" w:hAnsi="Arial" w:cs="Arial"/>
          <w:sz w:val="24"/>
          <w:szCs w:val="24"/>
        </w:rPr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isteka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stava</w:t>
      </w:r>
      <w:r>
        <w:rPr>
          <w:rFonts w:ascii="Arial" w:eastAsia="Arial" w:hAnsi="Arial" w:cs="Arial"/>
          <w:sz w:val="24"/>
          <w:szCs w:val="24"/>
        </w:rPr>
        <w:t xml:space="preserve"> 7. </w:t>
      </w:r>
      <w:r w:rsidR="00C36C66">
        <w:rPr>
          <w:rFonts w:ascii="Arial" w:eastAsia="Arial" w:hAnsi="Arial" w:cs="Arial"/>
          <w:sz w:val="24"/>
          <w:szCs w:val="24"/>
        </w:rPr>
        <w:t>ovog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člana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B9" w14:textId="3025D223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Javnost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BA" w14:textId="16D78A39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000000BB" w14:textId="287E102F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C" w14:textId="76F78A91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obezbeđuje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objavljivanjem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B056EF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zapisnika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delokruga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BD" w14:textId="707ECB9F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Izuzetno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može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odlučiti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isključi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predviđenih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razloga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E" w14:textId="4F60C119" w:rsidR="00672A8B" w:rsidRDefault="00C36C66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Uslovi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BF" w14:textId="511841EF" w:rsidR="00672A8B" w:rsidRDefault="00C36C66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lj</w:t>
      </w:r>
    </w:p>
    <w:p w14:paraId="000000C0" w14:textId="3D4C596B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Uslove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obezbeđuje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Narodn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C36C66">
        <w:rPr>
          <w:rFonts w:ascii="Arial" w:eastAsia="Arial" w:hAnsi="Arial" w:cs="Arial"/>
          <w:sz w:val="24"/>
          <w:szCs w:val="24"/>
        </w:rPr>
        <w:t>skupštin</w:t>
      </w:r>
      <w:r>
        <w:rPr>
          <w:rFonts w:ascii="Arial" w:eastAsia="Arial" w:hAnsi="Arial" w:cs="Arial"/>
          <w:sz w:val="24"/>
          <w:szCs w:val="24"/>
        </w:rPr>
        <w:t>a.</w:t>
      </w:r>
    </w:p>
    <w:p w14:paraId="000000C1" w14:textId="45F9668B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Sredstva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obezbeđuju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budžetu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Republike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Srbije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C2" w14:textId="71E81312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Članovi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primaju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naknadu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Komisiji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C3" w14:textId="27E5CA09" w:rsidR="00672A8B" w:rsidRDefault="00B056EF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6C66">
        <w:rPr>
          <w:rFonts w:ascii="Arial" w:eastAsia="Arial" w:hAnsi="Arial" w:cs="Arial"/>
          <w:sz w:val="24"/>
          <w:szCs w:val="24"/>
        </w:rPr>
        <w:t>Članovi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ostvaruju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pravo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naknadu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troškova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koji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nastaju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vezi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njihovim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radom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Komisiji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sz w:val="24"/>
          <w:szCs w:val="24"/>
        </w:rPr>
        <w:t>shodno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Uredbi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naknadi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troškova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otpremnini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državnih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službenika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nameštenika</w:t>
      </w:r>
      <w:r>
        <w:rPr>
          <w:rFonts w:ascii="Arial" w:eastAsia="Arial" w:hAnsi="Arial" w:cs="Arial"/>
          <w:sz w:val="24"/>
          <w:szCs w:val="24"/>
        </w:rPr>
        <w:t xml:space="preserve"> („</w:t>
      </w:r>
      <w:r w:rsidR="00C36C66">
        <w:rPr>
          <w:rFonts w:ascii="Arial" w:eastAsia="Arial" w:hAnsi="Arial" w:cs="Arial"/>
          <w:sz w:val="24"/>
          <w:szCs w:val="24"/>
        </w:rPr>
        <w:t>Službeni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glasnik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 xml:space="preserve">“, </w:t>
      </w:r>
      <w:r w:rsidR="00C36C66"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 xml:space="preserve">. 98/07 - </w:t>
      </w:r>
      <w:r w:rsidR="00C36C66">
        <w:rPr>
          <w:rFonts w:ascii="Arial" w:eastAsia="Arial" w:hAnsi="Arial" w:cs="Arial"/>
          <w:sz w:val="24"/>
          <w:szCs w:val="24"/>
        </w:rPr>
        <w:t>prečišćen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tekst</w:t>
      </w:r>
      <w:r>
        <w:rPr>
          <w:rFonts w:ascii="Arial" w:eastAsia="Arial" w:hAnsi="Arial" w:cs="Arial"/>
          <w:sz w:val="24"/>
          <w:szCs w:val="24"/>
        </w:rPr>
        <w:t xml:space="preserve">, 84/14, 84/15, 74/21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119/23), </w:t>
      </w:r>
      <w:r w:rsidR="00C36C6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skladu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Uredbom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naknadama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drugim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primanjima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izabranih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postavljenih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državnim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organima</w:t>
      </w:r>
      <w:r>
        <w:rPr>
          <w:rFonts w:ascii="Arial" w:eastAsia="Arial" w:hAnsi="Arial" w:cs="Arial"/>
          <w:sz w:val="24"/>
          <w:szCs w:val="24"/>
        </w:rPr>
        <w:t xml:space="preserve"> („</w:t>
      </w:r>
      <w:r w:rsidR="00C36C66">
        <w:rPr>
          <w:rFonts w:ascii="Arial" w:eastAsia="Arial" w:hAnsi="Arial" w:cs="Arial"/>
          <w:sz w:val="24"/>
          <w:szCs w:val="24"/>
        </w:rPr>
        <w:t>Službeni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glasnik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 xml:space="preserve">“, </w:t>
      </w:r>
      <w:r w:rsidR="00C36C66"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 xml:space="preserve">. 44/08 - </w:t>
      </w:r>
      <w:r w:rsidR="00C36C66">
        <w:rPr>
          <w:rFonts w:ascii="Arial" w:eastAsia="Arial" w:hAnsi="Arial" w:cs="Arial"/>
          <w:sz w:val="24"/>
          <w:szCs w:val="24"/>
        </w:rPr>
        <w:t>prečišćen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tekst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78/12).</w:t>
      </w:r>
    </w:p>
    <w:p w14:paraId="000000C4" w14:textId="38E70E0D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Administrativne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tehničke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potrebe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>
        <w:rPr>
          <w:rFonts w:ascii="Arial" w:eastAsia="Arial" w:hAnsi="Arial" w:cs="Arial"/>
          <w:sz w:val="24"/>
          <w:szCs w:val="24"/>
        </w:rPr>
        <w:t>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zaposleni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odredi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generalni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5" w14:textId="71FBB898" w:rsidR="00672A8B" w:rsidRDefault="00C36C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generalni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zaposlenih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6" w14:textId="6B8F9224" w:rsidR="00672A8B" w:rsidRDefault="00C36C66">
      <w:pP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može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imenovano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visoko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obrazovanje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nauka</w:t>
      </w:r>
      <w:r w:rsidR="00B056EF">
        <w:rPr>
          <w:rFonts w:ascii="Arial" w:eastAsia="Arial" w:hAnsi="Arial" w:cs="Arial"/>
          <w:color w:val="000000"/>
        </w:rPr>
        <w:t>.</w:t>
      </w:r>
    </w:p>
    <w:p w14:paraId="000000C7" w14:textId="5AF6952B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Prelazne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odredbe</w:t>
      </w:r>
    </w:p>
    <w:p w14:paraId="000000C8" w14:textId="3F0635DA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4.</w:t>
      </w:r>
    </w:p>
    <w:p w14:paraId="000000C9" w14:textId="62F11D14" w:rsidR="00672A8B" w:rsidRDefault="00B056EF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Poslaničke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grupe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Narodnoj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skupštini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udruženja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1.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3.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dužni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podnesu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kandidata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odnosno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zamenika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Komisije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roku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stupanja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snagu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A" w14:textId="1FB5CC7D" w:rsidR="00672A8B" w:rsidRDefault="00B056EF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Nadležni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Odbor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dužan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održi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sednicu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kojoj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će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utvrditi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Predlog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liste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kandidata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stav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4.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koji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podnosi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Narodnoj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skupštini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razmatranje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usvajanje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roku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isteka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roka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stava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ovog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člana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CB" w14:textId="25E1D30D" w:rsidR="00672A8B" w:rsidRDefault="00C36C66">
      <w:pPr>
        <w:spacing w:before="240"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obrazuje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30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podnošenja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2.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C" w14:textId="0C932846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najkasnije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obrazovanja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podneti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reviziji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verifikaciji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D" w14:textId="2FC12027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4.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razmatraće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30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podnošenja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E" w14:textId="0221CDD1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Nakon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razmatranja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4.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nadležni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podneti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preporuka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merama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unapređenje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F" w14:textId="424AAD72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razmatrati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6.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30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podnošenja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D0" w14:textId="00CF092B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razmatrati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. 4.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6.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pozivaju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učestvuju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D1" w14:textId="7BF27009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zaključenju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rasprave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doneti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preporuke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većinom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glasova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prisutna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većina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narodnih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D2" w14:textId="67A25341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Nadležni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organizacije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skladu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zaključcima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preporukama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čemu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izvestiti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120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objavljivanja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preporuka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D3" w14:textId="633F50A3" w:rsidR="00672A8B" w:rsidRDefault="00C36C6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primeni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zaključaka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preporuka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9.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će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podneti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30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isteka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0.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B056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B056E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D4" w14:textId="77777777" w:rsidR="00672A8B" w:rsidRDefault="00672A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D5" w14:textId="5FCECD5F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Završna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odredba</w:t>
      </w:r>
    </w:p>
    <w:p w14:paraId="000000D6" w14:textId="487BA207" w:rsidR="00672A8B" w:rsidRDefault="00C36C6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B056EF">
        <w:rPr>
          <w:rFonts w:ascii="Arial" w:eastAsia="Arial" w:hAnsi="Arial" w:cs="Arial"/>
          <w:b/>
          <w:color w:val="000000"/>
          <w:sz w:val="24"/>
          <w:szCs w:val="24"/>
        </w:rPr>
        <w:t xml:space="preserve"> 5.</w:t>
      </w:r>
    </w:p>
    <w:p w14:paraId="000000D7" w14:textId="1AC8DDAE" w:rsidR="00672A8B" w:rsidRDefault="00B056E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36C66">
        <w:rPr>
          <w:rFonts w:ascii="Arial" w:eastAsia="Arial" w:hAnsi="Arial" w:cs="Arial"/>
          <w:color w:val="000000"/>
          <w:sz w:val="24"/>
          <w:szCs w:val="24"/>
        </w:rPr>
        <w:t>Ovaj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zakon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stupa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snagu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osmog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objavljivanja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„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Službenom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glasniku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Republike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C66">
        <w:rPr>
          <w:rFonts w:ascii="Arial" w:eastAsia="Arial" w:hAnsi="Arial" w:cs="Arial"/>
          <w:color w:val="000000"/>
          <w:sz w:val="24"/>
          <w:szCs w:val="24"/>
        </w:rPr>
        <w:t>Srbije</w:t>
      </w:r>
      <w:r>
        <w:rPr>
          <w:rFonts w:ascii="Arial" w:eastAsia="Arial" w:hAnsi="Arial" w:cs="Arial"/>
          <w:color w:val="000000"/>
          <w:sz w:val="24"/>
          <w:szCs w:val="24"/>
        </w:rPr>
        <w:t>“.</w:t>
      </w:r>
    </w:p>
    <w:p w14:paraId="000000D8" w14:textId="77777777" w:rsidR="00672A8B" w:rsidRDefault="0067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2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6A33C" w14:textId="77777777" w:rsidR="00B056EF" w:rsidRDefault="00B056EF">
      <w:pPr>
        <w:spacing w:after="0" w:line="240" w:lineRule="auto"/>
      </w:pPr>
      <w:r>
        <w:separator/>
      </w:r>
    </w:p>
  </w:endnote>
  <w:endnote w:type="continuationSeparator" w:id="0">
    <w:p w14:paraId="35625393" w14:textId="77777777" w:rsidR="00B056EF" w:rsidRDefault="00B0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E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F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E0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E1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FB415" w14:textId="77777777" w:rsidR="00B056EF" w:rsidRDefault="00B056EF">
      <w:pPr>
        <w:spacing w:after="0" w:line="240" w:lineRule="auto"/>
      </w:pPr>
      <w:r>
        <w:separator/>
      </w:r>
    </w:p>
  </w:footnote>
  <w:footnote w:type="continuationSeparator" w:id="0">
    <w:p w14:paraId="0D39E043" w14:textId="77777777" w:rsidR="00B056EF" w:rsidRDefault="00B0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9" w14:textId="77777777" w:rsidR="00672A8B" w:rsidRDefault="00B056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A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B" w14:textId="77777777" w:rsidR="00672A8B" w:rsidRDefault="00B056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C36C6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36C6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DC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D" w14:textId="77777777" w:rsidR="00672A8B" w:rsidRDefault="00672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50B"/>
    <w:multiLevelType w:val="multilevel"/>
    <w:tmpl w:val="3230B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83265F2"/>
    <w:multiLevelType w:val="multilevel"/>
    <w:tmpl w:val="A40041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F6522A"/>
    <w:multiLevelType w:val="multilevel"/>
    <w:tmpl w:val="9E4C31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2A8B"/>
    <w:rsid w:val="00672A8B"/>
    <w:rsid w:val="00B056EF"/>
    <w:rsid w:val="00C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E"/>
  </w:style>
  <w:style w:type="paragraph" w:styleId="Footer">
    <w:name w:val="footer"/>
    <w:basedOn w:val="Normal"/>
    <w:link w:val="Foot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1E"/>
  </w:style>
  <w:style w:type="character" w:styleId="PageNumber">
    <w:name w:val="page number"/>
    <w:basedOn w:val="DefaultParagraphFont"/>
    <w:uiPriority w:val="99"/>
    <w:semiHidden/>
    <w:unhideWhenUsed/>
    <w:rsid w:val="0079651E"/>
  </w:style>
  <w:style w:type="character" w:styleId="CommentReference">
    <w:name w:val="annotation reference"/>
    <w:basedOn w:val="DefaultParagraphFont"/>
    <w:uiPriority w:val="99"/>
    <w:semiHidden/>
    <w:unhideWhenUsed/>
    <w:rsid w:val="00E03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96"/>
    <w:rPr>
      <w:rFonts w:ascii="Calibri" w:eastAsia="Calibri" w:hAnsi="Calibri" w:cs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96"/>
    <w:rPr>
      <w:rFonts w:ascii="Segoe UI" w:eastAsia="Calibri" w:hAnsi="Segoe UI" w:cs="Segoe UI"/>
      <w:sz w:val="18"/>
      <w:szCs w:val="18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66"/>
    <w:rPr>
      <w:rFonts w:ascii="Calibri" w:eastAsia="Calibri" w:hAnsi="Calibri" w:cs="Calibri"/>
      <w:b/>
      <w:bCs/>
      <w:sz w:val="20"/>
      <w:szCs w:val="20"/>
      <w:lang w:val="sr-Latn-RS"/>
    </w:rPr>
  </w:style>
  <w:style w:type="character" w:customStyle="1" w:styleId="searchtag">
    <w:name w:val="searchtag"/>
    <w:basedOn w:val="DefaultParagraphFont"/>
    <w:rsid w:val="00A815E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E"/>
  </w:style>
  <w:style w:type="paragraph" w:styleId="Footer">
    <w:name w:val="footer"/>
    <w:basedOn w:val="Normal"/>
    <w:link w:val="Foot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1E"/>
  </w:style>
  <w:style w:type="character" w:styleId="PageNumber">
    <w:name w:val="page number"/>
    <w:basedOn w:val="DefaultParagraphFont"/>
    <w:uiPriority w:val="99"/>
    <w:semiHidden/>
    <w:unhideWhenUsed/>
    <w:rsid w:val="0079651E"/>
  </w:style>
  <w:style w:type="character" w:styleId="CommentReference">
    <w:name w:val="annotation reference"/>
    <w:basedOn w:val="DefaultParagraphFont"/>
    <w:uiPriority w:val="99"/>
    <w:semiHidden/>
    <w:unhideWhenUsed/>
    <w:rsid w:val="00E03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96"/>
    <w:rPr>
      <w:rFonts w:ascii="Calibri" w:eastAsia="Calibri" w:hAnsi="Calibri" w:cs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96"/>
    <w:rPr>
      <w:rFonts w:ascii="Segoe UI" w:eastAsia="Calibri" w:hAnsi="Segoe UI" w:cs="Segoe UI"/>
      <w:sz w:val="18"/>
      <w:szCs w:val="18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66"/>
    <w:rPr>
      <w:rFonts w:ascii="Calibri" w:eastAsia="Calibri" w:hAnsi="Calibri" w:cs="Calibri"/>
      <w:b/>
      <w:bCs/>
      <w:sz w:val="20"/>
      <w:szCs w:val="20"/>
      <w:lang w:val="sr-Latn-RS"/>
    </w:rPr>
  </w:style>
  <w:style w:type="character" w:customStyle="1" w:styleId="searchtag">
    <w:name w:val="searchtag"/>
    <w:basedOn w:val="DefaultParagraphFont"/>
    <w:rsid w:val="00A815E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dW1cxHBy6FpAzQcwsY+niC/lA==">CgMxLjAyCGguZ2pkZ3hzMg5oLnFrMXgyb3BidnRjaTIJaC4zMGowemxsOABqJQoUc3VnZ2VzdC45M3c1dmxnbHAzNjYSDURhdmlkIEtyc3RpxIdyITFrbWxaektRQ2cxMm9HSFJBY0FpX1BXWGZkT1hicUtSWA==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Jarakovic</dc:creator>
  <cp:lastModifiedBy>Nikola Pavic</cp:lastModifiedBy>
  <cp:revision>2</cp:revision>
  <dcterms:created xsi:type="dcterms:W3CDTF">2024-12-19T15:01:00Z</dcterms:created>
  <dcterms:modified xsi:type="dcterms:W3CDTF">2024-12-19T15:01:00Z</dcterms:modified>
</cp:coreProperties>
</file>